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630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Филимонова Артема Сергеевича, 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5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Филимонов Артем Сергеевич, являясь директором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по месту нахождения юридического лица по адресу: </w:t>
      </w:r>
      <w:r>
        <w:rPr>
          <w:rStyle w:val="cat-UserDefinedgrp-39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до 24.00 часов 25</w:t>
      </w:r>
      <w:r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 xml:space="preserve">2024 года не исполнил установленную п.7 ст. 431 Налогового кодекса РФ обязанность по представлению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Филимонова Артема Сергеевича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Филимонов Артем Сергеевич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Филимонова Артема Сергеевича подтверждены совокупностью доказательств, а именно: протоколом об административном правонарушении №861725</w:t>
      </w:r>
      <w:r>
        <w:rPr>
          <w:rFonts w:ascii="Times New Roman" w:eastAsia="Times New Roman" w:hAnsi="Times New Roman" w:cs="Times New Roman"/>
        </w:rPr>
        <w:t>02801359600002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05.03.</w:t>
      </w:r>
      <w:r>
        <w:rPr>
          <w:rFonts w:ascii="Times New Roman" w:eastAsia="Times New Roman" w:hAnsi="Times New Roman" w:cs="Times New Roman"/>
        </w:rPr>
        <w:t xml:space="preserve">2025 года; реестрами внутренних почтовых отправлений, выпиской из ЕГРЮЛ в отношении юридического лица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Филимонова Артема Сергеевича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23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1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 (</w:t>
      </w:r>
      <w:hyperlink r:id="rId6" w:anchor="/document/10900200/entry/423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2 ст. 423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НК РФ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 должен был быть представлен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предоставить расчет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Филимонов Артем Сергеевич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Филимонов Артем Сергеевич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Филимонова Артема Сергеевича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Филимонову Артему Сергеевичу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Филимонова Артема Сергеевича,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Филимонова Артема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0412365400135006302515115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8">
    <w:name w:val="cat-UserDefined grp-3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